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F065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F06521" w:rsidRPr="00EB23CE" w:rsidRDefault="00EB23CE" w:rsidP="00EB23C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Pr="00EB23CE">
        <w:rPr>
          <w:rFonts w:ascii="Arial" w:hAnsi="Arial" w:cs="Arial"/>
          <w:sz w:val="20"/>
          <w:szCs w:val="20"/>
        </w:rPr>
        <w:t xml:space="preserve">. </w:t>
      </w:r>
      <w:r w:rsidR="00DF3A67" w:rsidRPr="00EB23CE">
        <w:rPr>
          <w:rFonts w:ascii="Arial" w:hAnsi="Arial" w:cs="Arial"/>
          <w:sz w:val="20"/>
          <w:szCs w:val="20"/>
        </w:rPr>
        <w:t xml:space="preserve">Przedmiotem niniejszej umowy </w:t>
      </w:r>
      <w:r w:rsidR="007732B1" w:rsidRPr="00EB23CE">
        <w:rPr>
          <w:rFonts w:ascii="Arial" w:hAnsi="Arial" w:cs="Arial"/>
          <w:sz w:val="20"/>
          <w:szCs w:val="20"/>
        </w:rPr>
        <w:t xml:space="preserve">są roboty budowlane polegające na </w:t>
      </w:r>
      <w:r w:rsidRPr="00EB23CE">
        <w:rPr>
          <w:rFonts w:ascii="Arial" w:hAnsi="Arial" w:cs="Arial"/>
          <w:sz w:val="20"/>
          <w:szCs w:val="20"/>
        </w:rPr>
        <w:t xml:space="preserve">wykonaniu remontu drogi powiatowej nr ………………. na </w:t>
      </w:r>
      <w:proofErr w:type="spellStart"/>
      <w:r w:rsidRPr="00EB23CE">
        <w:rPr>
          <w:rFonts w:ascii="Arial" w:hAnsi="Arial" w:cs="Arial"/>
          <w:sz w:val="20"/>
          <w:szCs w:val="20"/>
        </w:rPr>
        <w:t>dł</w:t>
      </w:r>
      <w:proofErr w:type="spellEnd"/>
      <w:r w:rsidRPr="00EB23CE">
        <w:rPr>
          <w:rFonts w:ascii="Arial" w:hAnsi="Arial" w:cs="Arial"/>
          <w:sz w:val="20"/>
          <w:szCs w:val="20"/>
        </w:rPr>
        <w:t>……….. w zakresie ułożenia nakładki z masy mineralno - bitumicznej</w:t>
      </w:r>
    </w:p>
    <w:p w:rsidR="00F54CC4" w:rsidRPr="00F06521" w:rsidRDefault="00F54CC4" w:rsidP="00F0652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F06521">
        <w:rPr>
          <w:rFonts w:ascii="Arial" w:eastAsia="Calibri" w:hAnsi="Arial" w:cs="Arial"/>
          <w:sz w:val="20"/>
          <w:szCs w:val="20"/>
        </w:rPr>
        <w:t xml:space="preserve">Zamawiający opisał przedmiot zamówienia za pomocą dokumentacji projektowej, specyfikacji technicznej oraz przedmiaru robót, a w zakres prac wchodzą następujące prace: 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roboty w zakresie ułożenia nawierzchni z betonu asfaltowego oraz wykonanie powierzchniowego utrwalenia</w:t>
      </w:r>
      <w:r>
        <w:rPr>
          <w:rFonts w:ascii="Arial" w:hAnsi="Arial" w:cs="Arial"/>
          <w:sz w:val="20"/>
          <w:szCs w:val="20"/>
        </w:rPr>
        <w:t>;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wykonania azylu dla pieszych (nawierzchnia z kostki brukowej)</w:t>
      </w:r>
      <w:r>
        <w:rPr>
          <w:rFonts w:ascii="Arial" w:hAnsi="Arial" w:cs="Arial"/>
          <w:sz w:val="20"/>
          <w:szCs w:val="20"/>
        </w:rPr>
        <w:t>;</w:t>
      </w:r>
    </w:p>
    <w:p w:rsidR="00DF3A67" w:rsidRPr="00FA2E35" w:rsidRDefault="00DF3A67" w:rsidP="00F0652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F0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  <w:r w:rsidR="00F54CC4">
        <w:rPr>
          <w:rFonts w:ascii="Arial" w:hAnsi="Arial" w:cs="Arial"/>
          <w:sz w:val="20"/>
          <w:szCs w:val="20"/>
        </w:rPr>
        <w:t xml:space="preserve"> oraz zakresem wymienionym w SIWZ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7C5746" w:rsidRDefault="00DF3A67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</w:t>
      </w:r>
      <w:r w:rsidRPr="00FA2E35">
        <w:rPr>
          <w:rFonts w:ascii="Arial" w:hAnsi="Arial" w:cs="Arial"/>
          <w:sz w:val="20"/>
          <w:szCs w:val="20"/>
        </w:rPr>
        <w:lastRenderedPageBreak/>
        <w:t xml:space="preserve">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7C5746" w:rsidRDefault="007C5746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7C5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 w:rsidR="00F06521">
        <w:rPr>
          <w:rFonts w:ascii="Arial" w:hAnsi="Arial" w:cs="Arial"/>
          <w:color w:val="auto"/>
          <w:sz w:val="20"/>
          <w:szCs w:val="20"/>
        </w:rPr>
        <w:t>..................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B869A5">
        <w:rPr>
          <w:rFonts w:ascii="Arial" w:hAnsi="Arial" w:cs="Arial"/>
          <w:color w:val="auto"/>
          <w:sz w:val="20"/>
          <w:szCs w:val="20"/>
        </w:rPr>
        <w:t>31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B869A5">
        <w:rPr>
          <w:rFonts w:ascii="Arial" w:hAnsi="Arial" w:cs="Arial"/>
          <w:color w:val="auto"/>
          <w:sz w:val="20"/>
          <w:szCs w:val="20"/>
        </w:rPr>
        <w:t>8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8) ustanowienie kierownika budowy w osobie ………………………………… oraz realizacja przepisów ustawy z dnia 7 lipca 1994 r. Prawo budowlane (t. jedn. Dz. U. z 2013 r., poz. 1409</w:t>
      </w:r>
      <w:r w:rsidR="006C1BBF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6C1BBF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6C1BBF">
        <w:rPr>
          <w:rFonts w:ascii="Arial" w:hAnsi="Arial" w:cs="Arial"/>
          <w:color w:val="auto"/>
          <w:sz w:val="20"/>
          <w:szCs w:val="20"/>
        </w:rPr>
        <w:t>. zm.</w:t>
      </w:r>
      <w:r w:rsidRPr="00FA2E35">
        <w:rPr>
          <w:rFonts w:ascii="Arial" w:hAnsi="Arial" w:cs="Arial"/>
          <w:color w:val="auto"/>
          <w:sz w:val="20"/>
          <w:szCs w:val="20"/>
        </w:rPr>
        <w:t>) dotyczących 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 xml:space="preserve">datkowych nie może przekroczyć </w:t>
      </w:r>
      <w:r w:rsidR="006C1BBF">
        <w:rPr>
          <w:rFonts w:ascii="Arial" w:hAnsi="Arial" w:cs="Arial"/>
          <w:color w:val="auto"/>
          <w:sz w:val="20"/>
          <w:szCs w:val="20"/>
        </w:rPr>
        <w:t>2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 xml:space="preserve">iemożliwiających prawidłową </w:t>
      </w:r>
      <w:r>
        <w:rPr>
          <w:rFonts w:ascii="Arial" w:hAnsi="Arial" w:cs="Arial"/>
          <w:sz w:val="20"/>
          <w:szCs w:val="20"/>
        </w:rPr>
        <w:lastRenderedPageBreak/>
        <w:t>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B869A5">
        <w:rPr>
          <w:rFonts w:ascii="Arial" w:hAnsi="Arial" w:cs="Arial"/>
          <w:color w:val="auto"/>
          <w:sz w:val="20"/>
          <w:szCs w:val="20"/>
          <w:highlight w:val="green"/>
        </w:rPr>
        <w:t>24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B869A5">
        <w:rPr>
          <w:rFonts w:ascii="Arial" w:hAnsi="Arial" w:cs="Arial"/>
          <w:color w:val="auto"/>
          <w:sz w:val="20"/>
          <w:szCs w:val="20"/>
          <w:highlight w:val="green"/>
        </w:rPr>
        <w:t>miesiące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02D"/>
    <w:multiLevelType w:val="hybridMultilevel"/>
    <w:tmpl w:val="9798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34958"/>
    <w:multiLevelType w:val="hybridMultilevel"/>
    <w:tmpl w:val="3C4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1BF"/>
    <w:multiLevelType w:val="hybridMultilevel"/>
    <w:tmpl w:val="2398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63D16"/>
    <w:multiLevelType w:val="hybridMultilevel"/>
    <w:tmpl w:val="5E32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1138E9"/>
    <w:rsid w:val="00116BF4"/>
    <w:rsid w:val="00134181"/>
    <w:rsid w:val="0014501E"/>
    <w:rsid w:val="001D5F05"/>
    <w:rsid w:val="00201A58"/>
    <w:rsid w:val="00260D69"/>
    <w:rsid w:val="0029058A"/>
    <w:rsid w:val="002C4AD3"/>
    <w:rsid w:val="003314C0"/>
    <w:rsid w:val="00393F6E"/>
    <w:rsid w:val="003A3901"/>
    <w:rsid w:val="00445AA2"/>
    <w:rsid w:val="00456005"/>
    <w:rsid w:val="004C1D9F"/>
    <w:rsid w:val="00511519"/>
    <w:rsid w:val="0052308B"/>
    <w:rsid w:val="0054248A"/>
    <w:rsid w:val="005436CA"/>
    <w:rsid w:val="00563025"/>
    <w:rsid w:val="005A3396"/>
    <w:rsid w:val="005D7E58"/>
    <w:rsid w:val="005E23F8"/>
    <w:rsid w:val="00647826"/>
    <w:rsid w:val="00674414"/>
    <w:rsid w:val="006C1BBF"/>
    <w:rsid w:val="006E7127"/>
    <w:rsid w:val="00762AC5"/>
    <w:rsid w:val="007732B1"/>
    <w:rsid w:val="007C0A34"/>
    <w:rsid w:val="007C5746"/>
    <w:rsid w:val="007C7BFF"/>
    <w:rsid w:val="008158AA"/>
    <w:rsid w:val="00835577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B869A5"/>
    <w:rsid w:val="00C20C12"/>
    <w:rsid w:val="00C35D63"/>
    <w:rsid w:val="00C831C9"/>
    <w:rsid w:val="00C92D22"/>
    <w:rsid w:val="00CA6FC7"/>
    <w:rsid w:val="00CE07EE"/>
    <w:rsid w:val="00CF3AD8"/>
    <w:rsid w:val="00D373BC"/>
    <w:rsid w:val="00D64E44"/>
    <w:rsid w:val="00D819C4"/>
    <w:rsid w:val="00D829E8"/>
    <w:rsid w:val="00D961BF"/>
    <w:rsid w:val="00DC759A"/>
    <w:rsid w:val="00DF3A67"/>
    <w:rsid w:val="00EB23CE"/>
    <w:rsid w:val="00EF0B4D"/>
    <w:rsid w:val="00F06521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paragraph" w:styleId="Akapitzlist">
    <w:name w:val="List Paragraph"/>
    <w:basedOn w:val="Normalny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7457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51</cp:revision>
  <cp:lastPrinted>2016-03-16T10:03:00Z</cp:lastPrinted>
  <dcterms:created xsi:type="dcterms:W3CDTF">2014-04-01T10:06:00Z</dcterms:created>
  <dcterms:modified xsi:type="dcterms:W3CDTF">2016-05-23T07:54:00Z</dcterms:modified>
</cp:coreProperties>
</file>